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A3" w:rsidRPr="006F1F65" w:rsidRDefault="003418A3" w:rsidP="000D764B">
      <w:pPr>
        <w:ind w:right="567"/>
        <w:jc w:val="both"/>
        <w:rPr>
          <w:sz w:val="22"/>
          <w:szCs w:val="22"/>
        </w:rPr>
      </w:pPr>
    </w:p>
    <w:p w:rsidR="003418A3" w:rsidRPr="006F1F65" w:rsidRDefault="003418A3" w:rsidP="000D764B">
      <w:pPr>
        <w:ind w:right="567"/>
        <w:jc w:val="both"/>
        <w:rPr>
          <w:sz w:val="22"/>
          <w:szCs w:val="22"/>
        </w:rPr>
      </w:pPr>
    </w:p>
    <w:p w:rsidR="005F3F60" w:rsidRDefault="002C1882" w:rsidP="002C1882">
      <w:pPr>
        <w:shd w:val="clear" w:color="auto" w:fill="FFFFFF"/>
        <w:spacing w:after="90"/>
        <w:rPr>
          <w:rFonts w:ascii="Helvetica" w:hAnsi="Helvetica" w:cs="Helvetica"/>
          <w:b/>
          <w:color w:val="1D2129"/>
          <w:sz w:val="22"/>
          <w:szCs w:val="22"/>
        </w:rPr>
      </w:pPr>
      <w:r w:rsidRPr="002C1882">
        <w:rPr>
          <w:rFonts w:ascii="Helvetica" w:hAnsi="Helvetica" w:cs="Helvetica"/>
          <w:b/>
          <w:color w:val="1D2129"/>
          <w:sz w:val="22"/>
          <w:szCs w:val="22"/>
        </w:rPr>
        <w:t>GUIDA IN STATO DI EBBREZZA</w:t>
      </w:r>
      <w:r w:rsidRPr="002C1882">
        <w:rPr>
          <w:rFonts w:ascii="Helvetica" w:hAnsi="Helvetica" w:cs="Helvetica"/>
          <w:b/>
          <w:color w:val="1D2129"/>
          <w:sz w:val="22"/>
          <w:szCs w:val="22"/>
        </w:rPr>
        <w:br/>
        <w:t>ACCERTAMENTO DELLO STATO DI EBBREZZA TRAMITE PRELIEVI EMATICI </w:t>
      </w:r>
    </w:p>
    <w:p w:rsidR="002C1882" w:rsidRDefault="002C1882" w:rsidP="002C1882">
      <w:pPr>
        <w:shd w:val="clear" w:color="auto" w:fill="FFFFFF"/>
        <w:spacing w:after="90"/>
        <w:rPr>
          <w:rFonts w:ascii="Helvetica" w:hAnsi="Helvetica" w:cs="Helvetica"/>
          <w:b/>
          <w:color w:val="1D2129"/>
          <w:sz w:val="22"/>
          <w:szCs w:val="22"/>
        </w:rPr>
      </w:pPr>
      <w:r w:rsidRPr="002C1882">
        <w:rPr>
          <w:rFonts w:ascii="Helvetica" w:hAnsi="Helvetica" w:cs="Helvetica"/>
          <w:b/>
          <w:color w:val="1D2129"/>
          <w:sz w:val="22"/>
          <w:szCs w:val="22"/>
        </w:rPr>
        <w:br/>
        <w:t>di Gianfranco Polselli</w:t>
      </w:r>
    </w:p>
    <w:p w:rsidR="005F3F60" w:rsidRPr="002C1882" w:rsidRDefault="005F3F60" w:rsidP="002C1882">
      <w:pPr>
        <w:shd w:val="clear" w:color="auto" w:fill="FFFFFF"/>
        <w:spacing w:after="90"/>
        <w:rPr>
          <w:rFonts w:ascii="Helvetica" w:hAnsi="Helvetica" w:cs="Helvetica"/>
          <w:b/>
          <w:color w:val="1D2129"/>
          <w:sz w:val="22"/>
          <w:szCs w:val="22"/>
        </w:rPr>
      </w:pPr>
    </w:p>
    <w:p w:rsidR="00EE4CC8" w:rsidRP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Il principio affermato dalla Suprema Corte di Cassazione e ribadito in più sentenze, in </w:t>
      </w:r>
    </w:p>
    <w:p w:rsidR="00EE4CC8" w:rsidRP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merito alla questione dell’accertamento dello stato di ebbrezza tramite prelievi del sangue, </w:t>
      </w:r>
    </w:p>
    <w:p w:rsidR="00EE4CC8" w:rsidRP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  <w:lang w:val="en-US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si incentra sulla individuazione di due situazioni tipiche. </w:t>
      </w:r>
      <w:r w:rsidRPr="002C1882">
        <w:rPr>
          <w:rFonts w:ascii="Helvetica" w:hAnsi="Helvetica" w:cs="Helvetica"/>
          <w:color w:val="1D2129"/>
          <w:sz w:val="22"/>
          <w:szCs w:val="22"/>
          <w:lang w:val="en-US"/>
        </w:rPr>
        <w:t xml:space="preserve">(Sent. Sez.4, n. 34875 </w:t>
      </w:r>
    </w:p>
    <w:p w:rsidR="005F3F60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  <w:lang w:val="en-US"/>
        </w:rPr>
      </w:pPr>
      <w:r w:rsidRPr="002C1882">
        <w:rPr>
          <w:rFonts w:ascii="Helvetica" w:hAnsi="Helvetica" w:cs="Helvetica"/>
          <w:color w:val="1D2129"/>
          <w:sz w:val="22"/>
          <w:szCs w:val="22"/>
          <w:lang w:val="en-US"/>
        </w:rPr>
        <w:t xml:space="preserve">dell’8/06/2017 - Sent. Sez.4, n. 21885 dell’5/05/2017 - Sent. Sez.4, n. 4234 del 30/1/2017 </w:t>
      </w:r>
    </w:p>
    <w:p w:rsidR="005F3F60" w:rsidRDefault="00EE4CC8" w:rsidP="005F3F60">
      <w:pPr>
        <w:shd w:val="clear" w:color="auto" w:fill="FFFFFF"/>
        <w:spacing w:before="90" w:after="90"/>
        <w:jc w:val="both"/>
        <w:rPr>
          <w:rFonts w:ascii="Helvetica" w:hAnsi="Helvetica" w:cs="Helvetica"/>
          <w:color w:val="1D2129"/>
          <w:sz w:val="22"/>
          <w:szCs w:val="22"/>
        </w:rPr>
      </w:pPr>
      <w:r w:rsidRPr="006F1F65">
        <w:rPr>
          <w:rFonts w:ascii="Helvetica" w:hAnsi="Helvetica" w:cs="Helvetica"/>
          <w:color w:val="1D2129"/>
          <w:sz w:val="22"/>
          <w:szCs w:val="22"/>
          <w:lang w:val="en-US"/>
        </w:rPr>
        <w:t>–</w:t>
      </w:r>
      <w:r w:rsidR="002C1882" w:rsidRPr="002C1882">
        <w:rPr>
          <w:rFonts w:ascii="Helvetica" w:hAnsi="Helvetica" w:cs="Helvetica"/>
          <w:color w:val="1D2129"/>
          <w:sz w:val="22"/>
          <w:szCs w:val="22"/>
          <w:lang w:val="en-US"/>
        </w:rPr>
        <w:t xml:space="preserve"> Sent. </w:t>
      </w:r>
      <w:proofErr w:type="spellStart"/>
      <w:r w:rsidR="002C1882" w:rsidRPr="002C1882">
        <w:rPr>
          <w:rFonts w:ascii="Helvetica" w:hAnsi="Helvetica" w:cs="Helvetica"/>
          <w:color w:val="1D2129"/>
          <w:sz w:val="22"/>
          <w:szCs w:val="22"/>
          <w:lang w:val="en-US"/>
        </w:rPr>
        <w:t>Sez</w:t>
      </w:r>
      <w:proofErr w:type="spellEnd"/>
      <w:r w:rsidR="002C1882" w:rsidRPr="002C1882">
        <w:rPr>
          <w:rFonts w:ascii="Helvetica" w:hAnsi="Helvetica" w:cs="Helvetica"/>
          <w:color w:val="1D2129"/>
          <w:sz w:val="22"/>
          <w:szCs w:val="22"/>
          <w:lang w:val="en-US"/>
        </w:rPr>
        <w:t xml:space="preserve">. 4, n. 6755/2012 del 6/11/2012- Sent. </w:t>
      </w:r>
      <w:proofErr w:type="spellStart"/>
      <w:r w:rsidR="002C1882" w:rsidRPr="002C1882">
        <w:rPr>
          <w:rFonts w:ascii="Helvetica" w:hAnsi="Helvetica" w:cs="Helvetica"/>
          <w:color w:val="1D2129"/>
          <w:sz w:val="22"/>
          <w:szCs w:val="22"/>
        </w:rPr>
        <w:t>Sez</w:t>
      </w:r>
      <w:proofErr w:type="spellEnd"/>
      <w:r w:rsidR="002C1882" w:rsidRPr="002C1882">
        <w:rPr>
          <w:rFonts w:ascii="Helvetica" w:hAnsi="Helvetica" w:cs="Helvetica"/>
          <w:color w:val="1D2129"/>
          <w:sz w:val="22"/>
          <w:szCs w:val="22"/>
        </w:rPr>
        <w:t xml:space="preserve"> 4, n. 26108 del 15/05/2012, </w:t>
      </w:r>
      <w:proofErr w:type="spellStart"/>
      <w:r w:rsidR="002C1882" w:rsidRPr="002C1882">
        <w:rPr>
          <w:rFonts w:ascii="Helvetica" w:hAnsi="Helvetica" w:cs="Helvetica"/>
          <w:color w:val="1D2129"/>
          <w:sz w:val="22"/>
          <w:szCs w:val="22"/>
        </w:rPr>
        <w:t>conf</w:t>
      </w:r>
      <w:proofErr w:type="spellEnd"/>
      <w:r w:rsidR="002C1882" w:rsidRPr="002C1882">
        <w:rPr>
          <w:rFonts w:ascii="Helvetica" w:hAnsi="Helvetica" w:cs="Helvetica"/>
          <w:color w:val="1D2129"/>
          <w:sz w:val="22"/>
          <w:szCs w:val="22"/>
        </w:rPr>
        <w:t xml:space="preserve">. </w:t>
      </w:r>
    </w:p>
    <w:p w:rsidR="006F1F65" w:rsidRP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proofErr w:type="spellStart"/>
      <w:r w:rsidRPr="002C1882">
        <w:rPr>
          <w:rFonts w:ascii="Helvetica" w:hAnsi="Helvetica" w:cs="Helvetica"/>
          <w:color w:val="1D2129"/>
          <w:sz w:val="22"/>
          <w:szCs w:val="22"/>
        </w:rPr>
        <w:t>Sez</w:t>
      </w:r>
      <w:proofErr w:type="spellEnd"/>
      <w:r w:rsidRPr="002C1882">
        <w:rPr>
          <w:rFonts w:ascii="Helvetica" w:hAnsi="Helvetica" w:cs="Helvetica"/>
          <w:color w:val="1D2129"/>
          <w:sz w:val="22"/>
          <w:szCs w:val="22"/>
        </w:rPr>
        <w:t xml:space="preserve"> 4 n.22599/05).</w:t>
      </w:r>
      <w:r w:rsidRPr="002C1882">
        <w:rPr>
          <w:rFonts w:ascii="Helvetica" w:hAnsi="Helvetica" w:cs="Helvetica"/>
          <w:color w:val="1D2129"/>
          <w:sz w:val="22"/>
          <w:szCs w:val="22"/>
        </w:rPr>
        <w:br/>
        <w:t>.</w:t>
      </w:r>
      <w:r w:rsidRPr="002C1882">
        <w:rPr>
          <w:rFonts w:ascii="Helvetica" w:hAnsi="Helvetica" w:cs="Helvetica"/>
          <w:color w:val="1D2129"/>
          <w:sz w:val="22"/>
          <w:szCs w:val="22"/>
        </w:rPr>
        <w:br/>
        <w:t xml:space="preserve">La prima è che il prelievo ematico venga eseguito in ospedale per decisione dei medici, al </w:t>
      </w:r>
    </w:p>
    <w:p w:rsidR="006F1F65" w:rsidRP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fine di curare le ferite di un incidente stradale, nell’ambito di un protocollo medico di pronto </w:t>
      </w:r>
    </w:p>
    <w:p w:rsidR="006F1F65" w:rsidRP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>soccorso, anche ai fini della valutazione della necessità di adeguate cure farmacologiche.</w:t>
      </w:r>
    </w:p>
    <w:p w:rsidR="006F1F65" w:rsidRP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br/>
        <w:t xml:space="preserve">In tal caso, il prelievo ematico è sempre utilizzabile come prova dello stato di ebbrezza, in </w:t>
      </w:r>
    </w:p>
    <w:p w:rsidR="006F1F65" w:rsidRP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quanto è espressamente previsto dalla legge (art. 186 comma 5 </w:t>
      </w:r>
      <w:proofErr w:type="spellStart"/>
      <w:r w:rsidRPr="002C1882">
        <w:rPr>
          <w:rFonts w:ascii="Helvetica" w:hAnsi="Helvetica" w:cs="Helvetica"/>
          <w:color w:val="1D2129"/>
          <w:sz w:val="22"/>
          <w:szCs w:val="22"/>
        </w:rPr>
        <w:t>c.d.s</w:t>
      </w:r>
      <w:proofErr w:type="spellEnd"/>
      <w:r w:rsidRPr="002C1882">
        <w:rPr>
          <w:rFonts w:ascii="Helvetica" w:hAnsi="Helvetica" w:cs="Helvetica"/>
          <w:color w:val="1D2129"/>
          <w:sz w:val="22"/>
          <w:szCs w:val="22"/>
        </w:rPr>
        <w:t xml:space="preserve">.), anche se manca il </w:t>
      </w:r>
    </w:p>
    <w:p w:rsidR="006F1F65" w:rsidRP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>consenso del conducente.</w:t>
      </w:r>
      <w:r w:rsidRPr="002C1882">
        <w:rPr>
          <w:rFonts w:ascii="Helvetica" w:hAnsi="Helvetica" w:cs="Helvetica"/>
          <w:color w:val="1D2129"/>
          <w:sz w:val="22"/>
          <w:szCs w:val="22"/>
        </w:rPr>
        <w:br/>
        <w:t>Cioè in tal caso è irrilevante sia il consenso che il dissenso del conducente.</w:t>
      </w:r>
    </w:p>
    <w:p w:rsidR="006F1F65" w:rsidRP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br/>
        <w:t>Infatti l’art.186, comma 5 del codice della strada, non fa al</w:t>
      </w:r>
      <w:r w:rsidR="006F1F65" w:rsidRPr="006F1F65">
        <w:rPr>
          <w:rFonts w:ascii="Helvetica" w:hAnsi="Helvetica" w:cs="Helvetica"/>
          <w:color w:val="1D2129"/>
          <w:sz w:val="22"/>
          <w:szCs w:val="22"/>
        </w:rPr>
        <w:t xml:space="preserve">cun riferimento al consenso del </w:t>
      </w:r>
    </w:p>
    <w:p w:rsidR="006F1F65" w:rsidRP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>conducente.</w:t>
      </w:r>
    </w:p>
    <w:p w:rsidR="006F1F65" w:rsidRP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br/>
        <w:t xml:space="preserve">Inoltre la circostanza che il predetto articolo 186, comma 5 </w:t>
      </w:r>
      <w:proofErr w:type="spellStart"/>
      <w:r w:rsidRPr="002C1882">
        <w:rPr>
          <w:rFonts w:ascii="Helvetica" w:hAnsi="Helvetica" w:cs="Helvetica"/>
          <w:color w:val="1D2129"/>
          <w:sz w:val="22"/>
          <w:szCs w:val="22"/>
        </w:rPr>
        <w:t>c.d.s</w:t>
      </w:r>
      <w:proofErr w:type="spellEnd"/>
      <w:r w:rsidRPr="002C1882">
        <w:rPr>
          <w:rFonts w:ascii="Helvetica" w:hAnsi="Helvetica" w:cs="Helvetica"/>
          <w:color w:val="1D2129"/>
          <w:sz w:val="22"/>
          <w:szCs w:val="22"/>
        </w:rPr>
        <w:t>. disponga </w:t>
      </w:r>
    </w:p>
    <w:p w:rsidR="006F1F65" w:rsidRP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br/>
        <w:t>"i conducenti coinvolti in incidenti stradali e sottoposti alle cure mediche”, delinea una</w:t>
      </w:r>
    </w:p>
    <w:p w:rsid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 oggettiva condizione di affidamento del conducente al personale medico, per l’apprestamento </w:t>
      </w:r>
    </w:p>
    <w:p w:rsid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delle cure e ciò è sufficiente affinché la polizia possa richiedere l’accertamento del tasso </w:t>
      </w:r>
    </w:p>
    <w:p w:rsid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proofErr w:type="spellStart"/>
      <w:r w:rsidRPr="002C1882">
        <w:rPr>
          <w:rFonts w:ascii="Helvetica" w:hAnsi="Helvetica" w:cs="Helvetica"/>
          <w:color w:val="1D2129"/>
          <w:sz w:val="22"/>
          <w:szCs w:val="22"/>
        </w:rPr>
        <w:t>alcolemico</w:t>
      </w:r>
      <w:proofErr w:type="spellEnd"/>
      <w:r w:rsidRPr="002C1882">
        <w:rPr>
          <w:rFonts w:ascii="Helvetica" w:hAnsi="Helvetica" w:cs="Helvetica"/>
          <w:color w:val="1D2129"/>
          <w:sz w:val="22"/>
          <w:szCs w:val="22"/>
        </w:rPr>
        <w:t xml:space="preserve"> (</w:t>
      </w:r>
      <w:proofErr w:type="spellStart"/>
      <w:r w:rsidRPr="002C1882">
        <w:rPr>
          <w:rFonts w:ascii="Helvetica" w:hAnsi="Helvetica" w:cs="Helvetica"/>
          <w:color w:val="1D2129"/>
          <w:sz w:val="22"/>
          <w:szCs w:val="22"/>
        </w:rPr>
        <w:t>sent</w:t>
      </w:r>
      <w:proofErr w:type="spellEnd"/>
      <w:r w:rsidRPr="002C1882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Pr="002C1882">
        <w:rPr>
          <w:rFonts w:ascii="Helvetica" w:hAnsi="Helvetica" w:cs="Helvetica"/>
          <w:color w:val="1D2129"/>
          <w:sz w:val="22"/>
          <w:szCs w:val="22"/>
        </w:rPr>
        <w:t>Cass.Sez</w:t>
      </w:r>
      <w:proofErr w:type="spellEnd"/>
      <w:r w:rsidRPr="002C1882">
        <w:rPr>
          <w:rFonts w:ascii="Helvetica" w:hAnsi="Helvetica" w:cs="Helvetica"/>
          <w:color w:val="1D2129"/>
          <w:sz w:val="22"/>
          <w:szCs w:val="22"/>
        </w:rPr>
        <w:t>. IV n.15329 del 13/04/2016).</w:t>
      </w:r>
    </w:p>
    <w:p w:rsid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br/>
        <w:t xml:space="preserve">“Non è inoltre affatto necessario che il conducente venga avvertito, a tutela del diritto di difesa, </w:t>
      </w:r>
    </w:p>
    <w:p w:rsid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della facoltà di nominarsi un difensore, mentre un suo eventuale rifiuto al prelievo ematico, se </w:t>
      </w:r>
    </w:p>
    <w:p w:rsidR="006F1F65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informato previamente della finalità del prelievo medesimo, potrebbe condurre alla configurazione </w:t>
      </w:r>
    </w:p>
    <w:p w:rsidR="002C1882" w:rsidRDefault="002C1882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>del reato di rifiuto di cui al citato articolo 186, comma 7” (</w:t>
      </w:r>
      <w:proofErr w:type="spellStart"/>
      <w:r w:rsidRPr="002C1882">
        <w:rPr>
          <w:rFonts w:ascii="Helvetica" w:hAnsi="Helvetica" w:cs="Helvetica"/>
          <w:color w:val="1D2129"/>
          <w:sz w:val="22"/>
          <w:szCs w:val="22"/>
        </w:rPr>
        <w:t>Sent</w:t>
      </w:r>
      <w:proofErr w:type="spellEnd"/>
      <w:r w:rsidRPr="002C1882">
        <w:rPr>
          <w:rFonts w:ascii="Helvetica" w:hAnsi="Helvetica" w:cs="Helvetica"/>
          <w:color w:val="1D2129"/>
          <w:sz w:val="22"/>
          <w:szCs w:val="22"/>
        </w:rPr>
        <w:t>. Sez.4, n. 4234 del 30/1/2017)</w:t>
      </w:r>
      <w:r w:rsidR="006F1F65">
        <w:rPr>
          <w:rFonts w:ascii="Helvetica" w:hAnsi="Helvetica" w:cs="Helvetica"/>
          <w:color w:val="1D2129"/>
          <w:sz w:val="22"/>
          <w:szCs w:val="22"/>
        </w:rPr>
        <w:t>.</w:t>
      </w:r>
    </w:p>
    <w:p w:rsidR="006F1F65" w:rsidRPr="002C1882" w:rsidRDefault="006F1F65" w:rsidP="002C1882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2"/>
          <w:szCs w:val="22"/>
        </w:rPr>
      </w:pP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La seconda situazione è che i sanitari non abbiano ritenuto di sottoporre il conducente a cure 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>mediche ed a prelievo ematico.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br/>
        <w:t xml:space="preserve">In tal caso, la richiesta di prelievo ematico degli organi di polizia giudiziaria, finalizzata unicamente 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all’accertamento di eventuale presenza di sostanze alcoliche nel sangue, in presenza di un 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dissenso espresso dell’interessato, è illegittima e, quindi, l’accertamento effettuato con prelievo 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>ematico, sarebbe inutilizzabile al fine di provare la responsabilità per guida in stato di ebbrezza.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lastRenderedPageBreak/>
        <w:br/>
        <w:t>Quindi il conducente ha diritto di opporre il rifiuto al prelievo ematico, se questo è finalizzato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 unicamente all’accertamento di eventuale presenza di sostanze alcoliche nel sangue, trattandosi 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>di un esame invasivo, con violazione dei diritti della persona.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br/>
        <w:t xml:space="preserve">C’è da evidenziare che la Suprema Corte ha affermato (sentenza Sez. IV, n.46386 23/11/2015, 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dalla Sez. IV, n.46386) che, qualora gli organi accertatori della polizia richiedano il prelievo 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ematico al fine di verificare il tasso </w:t>
      </w:r>
      <w:proofErr w:type="spellStart"/>
      <w:r w:rsidRPr="002C1882">
        <w:rPr>
          <w:rFonts w:ascii="Helvetica" w:hAnsi="Helvetica" w:cs="Helvetica"/>
          <w:color w:val="1D2129"/>
          <w:sz w:val="22"/>
          <w:szCs w:val="22"/>
        </w:rPr>
        <w:t>alcolemico</w:t>
      </w:r>
      <w:proofErr w:type="spellEnd"/>
      <w:r w:rsidRPr="002C1882">
        <w:rPr>
          <w:rFonts w:ascii="Helvetica" w:hAnsi="Helvetica" w:cs="Helvetica"/>
          <w:color w:val="1D2129"/>
          <w:sz w:val="22"/>
          <w:szCs w:val="22"/>
        </w:rPr>
        <w:t xml:space="preserve">, nel caso in cui i sanitari non ritengano di sottoporre 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il conducente a cure mediche e a prelievo ematico per motivi terapeutici, la mancanza di dissenso 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>espresso del conducente, equivale ad un suo atteggiamento positivo al prelievo 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br/>
        <w:t xml:space="preserve">Conseguentemente il prelievo si intende correttamente eseguito ed è utilizzabile come prova del 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>reato di guida in stato di ebbrezza.</w:t>
      </w:r>
      <w:bookmarkStart w:id="0" w:name="_GoBack"/>
      <w:bookmarkEnd w:id="0"/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br/>
        <w:t>Tuttavia la recente sentenza emessa dalla Suprema Corte di Cassazione (</w:t>
      </w:r>
      <w:proofErr w:type="spellStart"/>
      <w:r w:rsidRPr="002C1882">
        <w:rPr>
          <w:rFonts w:ascii="Helvetica" w:hAnsi="Helvetica" w:cs="Helvetica"/>
          <w:color w:val="1D2129"/>
          <w:sz w:val="22"/>
          <w:szCs w:val="22"/>
        </w:rPr>
        <w:t>Sent</w:t>
      </w:r>
      <w:proofErr w:type="spellEnd"/>
      <w:r w:rsidRPr="002C1882">
        <w:rPr>
          <w:rFonts w:ascii="Helvetica" w:hAnsi="Helvetica" w:cs="Helvetica"/>
          <w:color w:val="1D2129"/>
          <w:sz w:val="22"/>
          <w:szCs w:val="22"/>
        </w:rPr>
        <w:t xml:space="preserve">. Sez.4, n. 21885 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dell’5/05/2017 ), ha chiarito che in quest’ultimo caso ( e cioè quando il prelievo ematico non sia 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disposto dai medici per finalità terapeutiche, ma sia disposto esclusivamente perché richiesto dal 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personale della polizia, al fine di accertare il tasso </w:t>
      </w:r>
      <w:proofErr w:type="spellStart"/>
      <w:r w:rsidRPr="002C1882">
        <w:rPr>
          <w:rFonts w:ascii="Helvetica" w:hAnsi="Helvetica" w:cs="Helvetica"/>
          <w:color w:val="1D2129"/>
          <w:sz w:val="22"/>
          <w:szCs w:val="22"/>
        </w:rPr>
        <w:t>alcolemico</w:t>
      </w:r>
      <w:proofErr w:type="spellEnd"/>
      <w:r w:rsidRPr="002C1882">
        <w:rPr>
          <w:rFonts w:ascii="Helvetica" w:hAnsi="Helvetica" w:cs="Helvetica"/>
          <w:color w:val="1D2129"/>
          <w:sz w:val="22"/>
          <w:szCs w:val="22"/>
        </w:rPr>
        <w:t xml:space="preserve">), il conducente deve essere 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informato in pronto soccorso (anche in maniera informale, ma comunque effettiva) che il prelievo 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>non è per motivi medico - terapeutico, ma per motivi di legge e precisamente per la verifica del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 tasso </w:t>
      </w:r>
      <w:proofErr w:type="spellStart"/>
      <w:r w:rsidRPr="002C1882">
        <w:rPr>
          <w:rFonts w:ascii="Helvetica" w:hAnsi="Helvetica" w:cs="Helvetica"/>
          <w:color w:val="1D2129"/>
          <w:sz w:val="22"/>
          <w:szCs w:val="22"/>
        </w:rPr>
        <w:t>alcolemico</w:t>
      </w:r>
      <w:proofErr w:type="spellEnd"/>
      <w:r w:rsidRPr="002C1882">
        <w:rPr>
          <w:rFonts w:ascii="Helvetica" w:hAnsi="Helvetica" w:cs="Helvetica"/>
          <w:color w:val="1D2129"/>
          <w:sz w:val="22"/>
          <w:szCs w:val="22"/>
        </w:rPr>
        <w:t xml:space="preserve"> nel sangue.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br/>
        <w:t xml:space="preserve">Mancando tale informativa, il consenso del conducente al prelievo ematico non può ritenersi </w:t>
      </w:r>
    </w:p>
    <w:p w:rsidR="006F1F65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 xml:space="preserve">validamente prestato e, quindi, il prelievo ematico deve ritenersi illegittimo e il referto medico </w:t>
      </w:r>
    </w:p>
    <w:p w:rsidR="002C1882" w:rsidRPr="002C1882" w:rsidRDefault="002C1882" w:rsidP="002C1882">
      <w:pPr>
        <w:shd w:val="clear" w:color="auto" w:fill="FFFFFF"/>
        <w:spacing w:before="90"/>
        <w:rPr>
          <w:rFonts w:ascii="Helvetica" w:hAnsi="Helvetica" w:cs="Helvetica"/>
          <w:color w:val="1D2129"/>
          <w:sz w:val="22"/>
          <w:szCs w:val="22"/>
        </w:rPr>
      </w:pPr>
      <w:r w:rsidRPr="002C1882">
        <w:rPr>
          <w:rFonts w:ascii="Helvetica" w:hAnsi="Helvetica" w:cs="Helvetica"/>
          <w:color w:val="1D2129"/>
          <w:sz w:val="22"/>
          <w:szCs w:val="22"/>
        </w:rPr>
        <w:t>inutilizzabile al fine di provare lo stato di ebbrezza.</w:t>
      </w: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0D764B" w:rsidRPr="0032317E" w:rsidRDefault="00045E79" w:rsidP="000D764B">
      <w:pPr>
        <w:ind w:righ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D2F7C" wp14:editId="11C39E83">
                <wp:simplePos x="0" y="0"/>
                <wp:positionH relativeFrom="column">
                  <wp:posOffset>3810</wp:posOffset>
                </wp:positionH>
                <wp:positionV relativeFrom="paragraph">
                  <wp:posOffset>2691130</wp:posOffset>
                </wp:positionV>
                <wp:extent cx="2571750" cy="352425"/>
                <wp:effectExtent l="19050" t="19050" r="38100" b="4762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52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.3pt;margin-top:211.9pt;width:202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" filled="f" strokecolor="yellow" strokeweight="4.5pt"/>
            </w:pict>
          </mc:Fallback>
        </mc:AlternateContent>
      </w:r>
    </w:p>
    <w:sectPr w:rsidR="000D764B" w:rsidRPr="003231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4FBC"/>
    <w:multiLevelType w:val="multilevel"/>
    <w:tmpl w:val="41C2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10E82"/>
    <w:multiLevelType w:val="multilevel"/>
    <w:tmpl w:val="94CC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7E"/>
    <w:rsid w:val="00045E79"/>
    <w:rsid w:val="000474E2"/>
    <w:rsid w:val="00097986"/>
    <w:rsid w:val="000D764B"/>
    <w:rsid w:val="001E5133"/>
    <w:rsid w:val="002C1882"/>
    <w:rsid w:val="003169D1"/>
    <w:rsid w:val="0032317E"/>
    <w:rsid w:val="003418A3"/>
    <w:rsid w:val="004372E3"/>
    <w:rsid w:val="004F2D91"/>
    <w:rsid w:val="005403F9"/>
    <w:rsid w:val="005B7D74"/>
    <w:rsid w:val="005F3F60"/>
    <w:rsid w:val="00687F85"/>
    <w:rsid w:val="006F1F65"/>
    <w:rsid w:val="007604F4"/>
    <w:rsid w:val="008874F9"/>
    <w:rsid w:val="00925A5E"/>
    <w:rsid w:val="009728E7"/>
    <w:rsid w:val="009A4964"/>
    <w:rsid w:val="009F4958"/>
    <w:rsid w:val="00A41C0F"/>
    <w:rsid w:val="00C056E7"/>
    <w:rsid w:val="00CB4CE1"/>
    <w:rsid w:val="00D11E85"/>
    <w:rsid w:val="00E303EA"/>
    <w:rsid w:val="00EE4CC8"/>
    <w:rsid w:val="00F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E5133"/>
    <w:pPr>
      <w:keepNext/>
      <w:spacing w:line="360" w:lineRule="auto"/>
      <w:ind w:left="907" w:right="907"/>
      <w:jc w:val="center"/>
      <w:outlineLvl w:val="1"/>
    </w:pPr>
    <w:rPr>
      <w:rFonts w:ascii="Arial" w:hAnsi="Arial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979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E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E7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E303EA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E5133"/>
    <w:rPr>
      <w:rFonts w:ascii="Arial" w:eastAsia="Times New Roman" w:hAnsi="Arial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E5133"/>
    <w:pPr>
      <w:spacing w:line="360" w:lineRule="auto"/>
      <w:ind w:left="907" w:right="907"/>
      <w:jc w:val="center"/>
    </w:pPr>
    <w:rPr>
      <w:rFonts w:ascii="Arial" w:hAnsi="Arial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1E5133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Testodelblocco">
    <w:name w:val="Block Text"/>
    <w:basedOn w:val="Normale"/>
    <w:rsid w:val="001E5133"/>
    <w:pPr>
      <w:spacing w:line="360" w:lineRule="auto"/>
      <w:ind w:left="907" w:right="907"/>
      <w:jc w:val="both"/>
    </w:pPr>
    <w:rPr>
      <w:rFonts w:ascii="Arial" w:hAnsi="Arial"/>
      <w:sz w:val="28"/>
    </w:rPr>
  </w:style>
  <w:style w:type="character" w:customStyle="1" w:styleId="textexposedshow">
    <w:name w:val="text_exposed_show"/>
    <w:basedOn w:val="Carpredefinitoparagrafo"/>
    <w:rsid w:val="00097986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9798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E5133"/>
    <w:pPr>
      <w:keepNext/>
      <w:spacing w:line="360" w:lineRule="auto"/>
      <w:ind w:left="907" w:right="907"/>
      <w:jc w:val="center"/>
      <w:outlineLvl w:val="1"/>
    </w:pPr>
    <w:rPr>
      <w:rFonts w:ascii="Arial" w:hAnsi="Arial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979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E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E7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E303EA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E5133"/>
    <w:rPr>
      <w:rFonts w:ascii="Arial" w:eastAsia="Times New Roman" w:hAnsi="Arial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E5133"/>
    <w:pPr>
      <w:spacing w:line="360" w:lineRule="auto"/>
      <w:ind w:left="907" w:right="907"/>
      <w:jc w:val="center"/>
    </w:pPr>
    <w:rPr>
      <w:rFonts w:ascii="Arial" w:hAnsi="Arial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1E5133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Testodelblocco">
    <w:name w:val="Block Text"/>
    <w:basedOn w:val="Normale"/>
    <w:rsid w:val="001E5133"/>
    <w:pPr>
      <w:spacing w:line="360" w:lineRule="auto"/>
      <w:ind w:left="907" w:right="907"/>
      <w:jc w:val="both"/>
    </w:pPr>
    <w:rPr>
      <w:rFonts w:ascii="Arial" w:hAnsi="Arial"/>
      <w:sz w:val="28"/>
    </w:rPr>
  </w:style>
  <w:style w:type="character" w:customStyle="1" w:styleId="textexposedshow">
    <w:name w:val="text_exposed_show"/>
    <w:basedOn w:val="Carpredefinitoparagrafo"/>
    <w:rsid w:val="00097986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9798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4746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1703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4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55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88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49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603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0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9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3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72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62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1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1D31-EB66-40EC-82C1-8437F1F3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Polselli</dc:creator>
  <cp:lastModifiedBy>Avv. Polselli</cp:lastModifiedBy>
  <cp:revision>2</cp:revision>
  <cp:lastPrinted>2018-05-09T17:49:00Z</cp:lastPrinted>
  <dcterms:created xsi:type="dcterms:W3CDTF">2018-05-10T15:08:00Z</dcterms:created>
  <dcterms:modified xsi:type="dcterms:W3CDTF">2018-05-10T15:08:00Z</dcterms:modified>
</cp:coreProperties>
</file>